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FFCF" w14:textId="35E4D80E" w:rsidR="00993DAB" w:rsidRDefault="000A4B17" w:rsidP="00993DAB">
      <w:pPr>
        <w:rPr>
          <w:rFonts w:ascii="Arial" w:hAnsi="Arial" w:cs="Arial"/>
        </w:rPr>
      </w:pPr>
      <w:r>
        <w:rPr>
          <w:rFonts w:ascii="Arial" w:hAnsi="Arial" w:cs="Arial"/>
        </w:rPr>
        <w:t>Premium Com</w:t>
      </w:r>
      <w:r w:rsidR="004F6648">
        <w:rPr>
          <w:rFonts w:ascii="Arial" w:hAnsi="Arial" w:cs="Arial"/>
        </w:rPr>
        <w:t>for</w:t>
      </w:r>
      <w:r>
        <w:rPr>
          <w:rFonts w:ascii="Arial" w:hAnsi="Arial" w:cs="Arial"/>
        </w:rPr>
        <w:t>t</w:t>
      </w:r>
    </w:p>
    <w:p w14:paraId="001DFFD0" w14:textId="77777777" w:rsidR="00F876AC" w:rsidRPr="00483CEA" w:rsidRDefault="00F876AC" w:rsidP="00F876AC">
      <w:pPr>
        <w:rPr>
          <w:rFonts w:ascii="Arial" w:hAnsi="Arial" w:cs="Arial"/>
          <w:sz w:val="20"/>
          <w:szCs w:val="20"/>
        </w:rPr>
      </w:pPr>
    </w:p>
    <w:p w14:paraId="324D9457" w14:textId="315AE289" w:rsidR="00947A0B" w:rsidRDefault="00F876AC" w:rsidP="002066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947A0B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ISO 1</w:t>
      </w:r>
      <w:r w:rsidR="00A11F2D">
        <w:rPr>
          <w:rFonts w:ascii="Arial" w:hAnsi="Arial" w:cs="Arial"/>
          <w:sz w:val="18"/>
          <w:szCs w:val="18"/>
        </w:rPr>
        <w:t>1638</w:t>
      </w:r>
      <w:r w:rsidR="00F6672C">
        <w:rPr>
          <w:rFonts w:ascii="Arial" w:hAnsi="Arial" w:cs="Arial"/>
          <w:sz w:val="18"/>
          <w:szCs w:val="18"/>
        </w:rPr>
        <w:t xml:space="preserve">, </w:t>
      </w:r>
      <w:r w:rsidR="009A1DC3" w:rsidRPr="00947A0B">
        <w:rPr>
          <w:rFonts w:ascii="Arial" w:hAnsi="Arial" w:cs="Arial"/>
          <w:b/>
          <w:bCs/>
          <w:sz w:val="18"/>
          <w:szCs w:val="18"/>
        </w:rPr>
        <w:t>heterogen</w:t>
      </w:r>
      <w:r w:rsidR="00A11F2D">
        <w:rPr>
          <w:rFonts w:ascii="Arial" w:hAnsi="Arial" w:cs="Arial"/>
          <w:b/>
          <w:bCs/>
          <w:sz w:val="18"/>
          <w:szCs w:val="18"/>
        </w:rPr>
        <w:t xml:space="preserve"> </w:t>
      </w:r>
      <w:r w:rsidR="00A11F2D" w:rsidRPr="00A11F2D">
        <w:rPr>
          <w:rFonts w:ascii="Arial" w:hAnsi="Arial" w:cs="Arial"/>
          <w:sz w:val="18"/>
          <w:szCs w:val="18"/>
        </w:rPr>
        <w:t>mit Schaumträger</w:t>
      </w:r>
      <w:r w:rsidR="00947A0B">
        <w:rPr>
          <w:rFonts w:ascii="Arial" w:hAnsi="Arial" w:cs="Arial"/>
          <w:sz w:val="18"/>
          <w:szCs w:val="18"/>
        </w:rPr>
        <w:t>.</w:t>
      </w:r>
    </w:p>
    <w:p w14:paraId="4163B667" w14:textId="35EEEBEC" w:rsidR="00947A0B" w:rsidRDefault="000A4B17" w:rsidP="00206623">
      <w:pPr>
        <w:rPr>
          <w:rFonts w:ascii="Arial" w:hAnsi="Arial" w:cs="Arial"/>
          <w:sz w:val="18"/>
          <w:szCs w:val="18"/>
        </w:rPr>
      </w:pPr>
      <w:r w:rsidRPr="000A4B17">
        <w:rPr>
          <w:rFonts w:ascii="Arial" w:hAnsi="Arial" w:cs="Arial"/>
          <w:sz w:val="18"/>
          <w:szCs w:val="18"/>
        </w:rPr>
        <w:t xml:space="preserve">Mit einer matten, homogenen, farbigen, reinen </w:t>
      </w:r>
      <w:r w:rsidR="00947A0B">
        <w:rPr>
          <w:rFonts w:ascii="Arial" w:hAnsi="Arial" w:cs="Arial"/>
          <w:sz w:val="18"/>
          <w:szCs w:val="18"/>
        </w:rPr>
        <w:t>PVC</w:t>
      </w:r>
      <w:r w:rsidRPr="000A4B17">
        <w:rPr>
          <w:rFonts w:ascii="Arial" w:hAnsi="Arial" w:cs="Arial"/>
          <w:sz w:val="18"/>
          <w:szCs w:val="18"/>
        </w:rPr>
        <w:t xml:space="preserve">-Nutzschicht ohne Füllstoffe, in </w:t>
      </w:r>
      <w:r w:rsidR="00AD0A4E">
        <w:rPr>
          <w:rFonts w:ascii="Arial" w:hAnsi="Arial" w:cs="Arial"/>
          <w:sz w:val="18"/>
          <w:szCs w:val="18"/>
        </w:rPr>
        <w:t xml:space="preserve">der </w:t>
      </w:r>
      <w:r w:rsidRPr="000A4B17">
        <w:rPr>
          <w:rFonts w:ascii="Arial" w:hAnsi="Arial" w:cs="Arial"/>
          <w:sz w:val="18"/>
          <w:szCs w:val="18"/>
        </w:rPr>
        <w:t>sehr dicht gepresste, farbige Chips eingearbeitet sind.</w:t>
      </w:r>
      <w:r w:rsidR="00F6672C">
        <w:rPr>
          <w:rFonts w:ascii="Arial" w:hAnsi="Arial" w:cs="Arial"/>
          <w:sz w:val="18"/>
          <w:szCs w:val="18"/>
        </w:rPr>
        <w:t xml:space="preserve"> </w:t>
      </w:r>
      <w:r w:rsidR="001553B4" w:rsidRPr="001553B4">
        <w:rPr>
          <w:rFonts w:ascii="Arial" w:hAnsi="Arial" w:cs="Arial"/>
          <w:sz w:val="18"/>
          <w:szCs w:val="18"/>
        </w:rPr>
        <w:t>Sein</w:t>
      </w:r>
      <w:r w:rsidR="00A11F2D">
        <w:rPr>
          <w:rFonts w:ascii="Arial" w:hAnsi="Arial" w:cs="Arial"/>
          <w:sz w:val="18"/>
          <w:szCs w:val="18"/>
        </w:rPr>
        <w:t>e</w:t>
      </w:r>
      <w:r w:rsidR="001553B4" w:rsidRPr="001553B4">
        <w:rPr>
          <w:rFonts w:ascii="Arial" w:hAnsi="Arial" w:cs="Arial"/>
          <w:sz w:val="18"/>
          <w:szCs w:val="18"/>
        </w:rPr>
        <w:t xml:space="preserve"> kompakte </w:t>
      </w:r>
      <w:r w:rsidR="00A11F2D">
        <w:rPr>
          <w:rFonts w:ascii="Arial" w:hAnsi="Arial" w:cs="Arial"/>
          <w:sz w:val="18"/>
          <w:szCs w:val="18"/>
        </w:rPr>
        <w:t>Zwischenschicht</w:t>
      </w:r>
      <w:r w:rsidR="001553B4" w:rsidRPr="001553B4">
        <w:rPr>
          <w:rFonts w:ascii="Arial" w:hAnsi="Arial" w:cs="Arial"/>
          <w:sz w:val="18"/>
          <w:szCs w:val="18"/>
        </w:rPr>
        <w:t xml:space="preserve"> </w:t>
      </w:r>
      <w:r w:rsidR="00B25A04">
        <w:rPr>
          <w:rFonts w:ascii="Arial" w:hAnsi="Arial" w:cs="Arial"/>
          <w:sz w:val="18"/>
          <w:szCs w:val="18"/>
        </w:rPr>
        <w:t>ist</w:t>
      </w:r>
      <w:r w:rsidR="001553B4" w:rsidRPr="001553B4">
        <w:rPr>
          <w:rFonts w:ascii="Arial" w:hAnsi="Arial" w:cs="Arial"/>
          <w:sz w:val="18"/>
          <w:szCs w:val="18"/>
        </w:rPr>
        <w:t xml:space="preserve"> kalandriert, gepresst und mit einem </w:t>
      </w:r>
      <w:r w:rsidR="001553B4">
        <w:rPr>
          <w:rFonts w:ascii="Arial" w:hAnsi="Arial" w:cs="Arial"/>
          <w:sz w:val="18"/>
          <w:szCs w:val="18"/>
        </w:rPr>
        <w:t>G</w:t>
      </w:r>
      <w:r w:rsidR="001553B4" w:rsidRPr="001553B4">
        <w:rPr>
          <w:rFonts w:ascii="Arial" w:hAnsi="Arial" w:cs="Arial"/>
          <w:sz w:val="18"/>
          <w:szCs w:val="18"/>
        </w:rPr>
        <w:t>lasfaser</w:t>
      </w:r>
      <w:r w:rsidR="001553B4">
        <w:rPr>
          <w:rFonts w:ascii="Arial" w:hAnsi="Arial" w:cs="Arial"/>
          <w:sz w:val="18"/>
          <w:szCs w:val="18"/>
        </w:rPr>
        <w:t>g</w:t>
      </w:r>
      <w:r w:rsidR="001553B4" w:rsidRPr="001553B4">
        <w:rPr>
          <w:rFonts w:ascii="Arial" w:hAnsi="Arial" w:cs="Arial"/>
          <w:sz w:val="18"/>
          <w:szCs w:val="18"/>
        </w:rPr>
        <w:t>itter verstärkt.</w:t>
      </w:r>
      <w:r w:rsidR="00A11F2D">
        <w:rPr>
          <w:rFonts w:ascii="Arial" w:hAnsi="Arial" w:cs="Arial"/>
          <w:sz w:val="18"/>
          <w:szCs w:val="18"/>
        </w:rPr>
        <w:t xml:space="preserve"> Er verfügt über einen sehr hoch verdichteten </w:t>
      </w:r>
      <w:proofErr w:type="spellStart"/>
      <w:r w:rsidR="00A11F2D">
        <w:rPr>
          <w:rFonts w:ascii="Arial" w:hAnsi="Arial" w:cs="Arial"/>
          <w:sz w:val="18"/>
          <w:szCs w:val="18"/>
        </w:rPr>
        <w:t>glasfasergitter</w:t>
      </w:r>
      <w:proofErr w:type="spellEnd"/>
      <w:r w:rsidR="00A11F2D">
        <w:rPr>
          <w:rFonts w:ascii="Arial" w:hAnsi="Arial" w:cs="Arial"/>
          <w:sz w:val="18"/>
          <w:szCs w:val="18"/>
        </w:rPr>
        <w:t>-verstärkten Schaumrücken.</w:t>
      </w:r>
    </w:p>
    <w:p w14:paraId="35BD0F95" w14:textId="77777777" w:rsidR="00947A0B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r>
        <w:rPr>
          <w:rFonts w:ascii="Arial" w:hAnsi="Arial" w:cs="Arial"/>
          <w:sz w:val="18"/>
          <w:szCs w:val="18"/>
        </w:rPr>
        <w:t xml:space="preserve">es wird ein vollständig </w:t>
      </w:r>
      <w:proofErr w:type="spellStart"/>
      <w:r w:rsidRPr="00947A0B">
        <w:rPr>
          <w:rFonts w:ascii="Arial" w:hAnsi="Arial" w:cs="Arial"/>
          <w:b/>
          <w:bCs/>
          <w:sz w:val="18"/>
          <w:szCs w:val="18"/>
        </w:rPr>
        <w:t>phthalatfreier</w:t>
      </w:r>
      <w:proofErr w:type="spellEnd"/>
      <w:r>
        <w:rPr>
          <w:rFonts w:ascii="Arial" w:hAnsi="Arial" w:cs="Arial"/>
          <w:sz w:val="18"/>
          <w:szCs w:val="18"/>
        </w:rPr>
        <w:t xml:space="preserve"> Weichmacher eingesetzt</w:t>
      </w:r>
      <w:r w:rsidRPr="00C02955">
        <w:rPr>
          <w:rFonts w:ascii="Arial" w:hAnsi="Arial" w:cs="Arial"/>
          <w:sz w:val="18"/>
          <w:szCs w:val="18"/>
        </w:rPr>
        <w:t>,</w:t>
      </w:r>
    </w:p>
    <w:p w14:paraId="1DAF9BBF" w14:textId="310BA697" w:rsidR="00947A0B" w:rsidRPr="00C02955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74F6A202" w14:textId="2702B211" w:rsidR="00947A0B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</w:t>
      </w:r>
      <w:r>
        <w:rPr>
          <w:rFonts w:ascii="Arial" w:hAnsi="Arial" w:cs="Arial"/>
          <w:sz w:val="18"/>
          <w:szCs w:val="18"/>
        </w:rPr>
        <w:t xml:space="preserve"> und 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34B22CB3" w14:textId="77777777" w:rsidR="00947A0B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269A02D" w14:textId="77777777" w:rsidR="00947A0B" w:rsidRPr="00C02955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1932AD53" w14:textId="0D2B956A" w:rsidR="00947A0B" w:rsidRPr="00C02955" w:rsidRDefault="00947A0B" w:rsidP="00947A0B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Vollständig recycelbar und hergestellt mit mindestens </w:t>
      </w:r>
      <w:r w:rsidR="00F7590C">
        <w:rPr>
          <w:rFonts w:ascii="Arial" w:hAnsi="Arial" w:cs="Arial"/>
          <w:sz w:val="18"/>
          <w:szCs w:val="18"/>
        </w:rPr>
        <w:t>50</w:t>
      </w:r>
      <w:r w:rsidRPr="00C02955">
        <w:rPr>
          <w:rFonts w:ascii="Arial" w:hAnsi="Arial" w:cs="Arial"/>
          <w:sz w:val="18"/>
          <w:szCs w:val="18"/>
        </w:rPr>
        <w:t xml:space="preserve"> % Recyclinganteil</w:t>
      </w:r>
      <w:r>
        <w:rPr>
          <w:rFonts w:ascii="Arial" w:hAnsi="Arial" w:cs="Arial"/>
          <w:sz w:val="18"/>
          <w:szCs w:val="18"/>
        </w:rPr>
        <w:t>,</w:t>
      </w:r>
    </w:p>
    <w:p w14:paraId="47E399DA" w14:textId="30D00626" w:rsidR="00F7590C" w:rsidRPr="00C02955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</w:t>
      </w:r>
      <w:r w:rsidR="00A11F2D">
        <w:rPr>
          <w:rFonts w:ascii="Arial" w:hAnsi="Arial" w:cs="Arial"/>
          <w:b/>
          <w:sz w:val="18"/>
          <w:szCs w:val="18"/>
        </w:rPr>
        <w:t>2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1921E9C" w14:textId="77777777" w:rsidR="00F7590C" w:rsidRPr="003D5DA6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5DACF50D" w14:textId="5C5B05CF" w:rsidR="00F7590C" w:rsidRPr="000E71FD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="00A11F2D">
        <w:rPr>
          <w:rFonts w:ascii="Arial" w:hAnsi="Arial" w:cs="Arial"/>
          <w:b/>
          <w:sz w:val="18"/>
          <w:szCs w:val="18"/>
        </w:rPr>
        <w:t>16 / 17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4F41DE45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2CF8ED9C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404DE5E7" w14:textId="6F3D35EC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="00A11F2D">
        <w:rPr>
          <w:rFonts w:ascii="Arial" w:hAnsi="Arial" w:cs="Arial"/>
          <w:b/>
          <w:sz w:val="18"/>
          <w:szCs w:val="18"/>
        </w:rPr>
        <w:t>C</w:t>
      </w:r>
      <w:r w:rsidRPr="001441D9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07799B93" w14:textId="5EAAC783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F5202E8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68467A6F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72D3F3B3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8391223" w14:textId="54C930F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1441D9">
        <w:rPr>
          <w:rFonts w:ascii="Arial" w:hAnsi="Arial" w:cs="Arial"/>
          <w:b/>
          <w:sz w:val="18"/>
          <w:szCs w:val="18"/>
        </w:rPr>
        <w:t>3</w:t>
      </w:r>
      <w:r w:rsidRPr="00D751A5">
        <w:rPr>
          <w:rFonts w:ascii="Arial" w:hAnsi="Arial" w:cs="Arial"/>
          <w:b/>
          <w:sz w:val="18"/>
          <w:szCs w:val="18"/>
        </w:rPr>
        <w:t>,0</w:t>
      </w:r>
      <w:r w:rsidR="001441D9">
        <w:rPr>
          <w:rFonts w:ascii="Arial" w:hAnsi="Arial" w:cs="Arial"/>
          <w:b/>
          <w:sz w:val="18"/>
          <w:szCs w:val="18"/>
        </w:rPr>
        <w:t xml:space="preserve"> - 3,3 </w:t>
      </w:r>
      <w:r w:rsidRPr="00D751A5">
        <w:rPr>
          <w:rFonts w:ascii="Arial" w:hAnsi="Arial" w:cs="Arial"/>
          <w:b/>
          <w:sz w:val="18"/>
          <w:szCs w:val="18"/>
        </w:rPr>
        <w:t>mm</w:t>
      </w:r>
      <w:r w:rsidR="001441D9">
        <w:rPr>
          <w:rFonts w:ascii="Arial" w:hAnsi="Arial" w:cs="Arial"/>
          <w:b/>
          <w:sz w:val="18"/>
          <w:szCs w:val="18"/>
        </w:rPr>
        <w:t xml:space="preserve"> </w:t>
      </w:r>
      <w:r w:rsidR="001441D9" w:rsidRPr="006805C7">
        <w:rPr>
          <w:rFonts w:ascii="Arial" w:hAnsi="Arial" w:cs="Arial"/>
          <w:bCs/>
          <w:sz w:val="18"/>
          <w:szCs w:val="18"/>
        </w:rPr>
        <w:t>(je nach Dessin)</w:t>
      </w:r>
      <w:r>
        <w:rPr>
          <w:rFonts w:ascii="Arial" w:hAnsi="Arial" w:cs="Arial"/>
          <w:sz w:val="18"/>
          <w:szCs w:val="18"/>
        </w:rPr>
        <w:t>,</w:t>
      </w:r>
    </w:p>
    <w:p w14:paraId="2C07864C" w14:textId="4F1AF3F8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6805C7" w:rsidRPr="006805C7">
        <w:rPr>
          <w:rFonts w:ascii="Arial" w:hAnsi="Arial" w:cs="Arial"/>
          <w:b/>
          <w:bCs/>
          <w:sz w:val="18"/>
          <w:szCs w:val="18"/>
        </w:rPr>
        <w:t>≥ 1 mm</w:t>
      </w:r>
    </w:p>
    <w:p w14:paraId="5079A926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665AE7E0" w14:textId="1F3CC0E4" w:rsidR="00F7590C" w:rsidRDefault="00F7590C" w:rsidP="00F7590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1441D9">
        <w:rPr>
          <w:rFonts w:ascii="Arial" w:hAnsi="Arial" w:cs="Arial"/>
          <w:b/>
          <w:sz w:val="18"/>
          <w:szCs w:val="18"/>
        </w:rPr>
        <w:t>80</w:t>
      </w:r>
      <w:r w:rsidR="006805C7">
        <w:rPr>
          <w:rFonts w:ascii="Arial" w:hAnsi="Arial" w:cs="Arial"/>
          <w:b/>
          <w:sz w:val="18"/>
          <w:szCs w:val="18"/>
        </w:rPr>
        <w:t>0 - 2</w:t>
      </w:r>
      <w:r w:rsidR="001441D9">
        <w:rPr>
          <w:rFonts w:ascii="Arial" w:hAnsi="Arial" w:cs="Arial"/>
          <w:b/>
          <w:sz w:val="18"/>
          <w:szCs w:val="18"/>
        </w:rPr>
        <w:t>26</w:t>
      </w:r>
      <w:r w:rsidR="006805C7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  <w:r w:rsidR="006805C7">
        <w:rPr>
          <w:rFonts w:ascii="Arial" w:hAnsi="Arial" w:cs="Arial"/>
          <w:b/>
          <w:sz w:val="18"/>
          <w:szCs w:val="18"/>
        </w:rPr>
        <w:t xml:space="preserve"> </w:t>
      </w:r>
      <w:r w:rsidR="006805C7" w:rsidRPr="006805C7">
        <w:rPr>
          <w:rFonts w:ascii="Arial" w:hAnsi="Arial" w:cs="Arial"/>
          <w:bCs/>
          <w:sz w:val="18"/>
          <w:szCs w:val="18"/>
        </w:rPr>
        <w:t>(je nach Dessin)</w:t>
      </w:r>
    </w:p>
    <w:p w14:paraId="487E6ABF" w14:textId="1500D469" w:rsidR="00F7590C" w:rsidRPr="00955D7C" w:rsidRDefault="00F7590C" w:rsidP="00F7590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 w:rsidR="001441D9">
        <w:rPr>
          <w:rFonts w:ascii="Arial" w:hAnsi="Arial" w:cs="Arial"/>
          <w:b/>
          <w:sz w:val="18"/>
          <w:szCs w:val="18"/>
        </w:rPr>
        <w:t>6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74132F19" w14:textId="46E71486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6805C7">
        <w:rPr>
          <w:rFonts w:ascii="Arial" w:hAnsi="Arial" w:cs="Arial"/>
          <w:b/>
          <w:sz w:val="18"/>
          <w:szCs w:val="18"/>
        </w:rPr>
        <w:t>6</w:t>
      </w:r>
    </w:p>
    <w:p w14:paraId="1F02BA3C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46AF55DB" w14:textId="77777777" w:rsidR="00F7590C" w:rsidRDefault="00F7590C" w:rsidP="00F7590C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4F7D8607" w14:textId="77777777" w:rsidR="00F7590C" w:rsidRPr="00C02955" w:rsidRDefault="00F7590C" w:rsidP="00F7590C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1D8BA1B9" w14:textId="77777777" w:rsidR="00F7590C" w:rsidRPr="00C02955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10C7EE42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</w:p>
    <w:p w14:paraId="64FA7B80" w14:textId="77777777" w:rsidR="007A24C3" w:rsidRPr="0050111C" w:rsidRDefault="007A24C3" w:rsidP="007A24C3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5A9759C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</w:p>
    <w:p w14:paraId="7111A062" w14:textId="77777777" w:rsidR="00F7590C" w:rsidRDefault="00F7590C" w:rsidP="00F7590C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C42D114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3A5BC14F" w14:textId="77777777" w:rsidR="00F7590C" w:rsidRPr="00C951B6" w:rsidRDefault="00F7590C" w:rsidP="00F7590C">
      <w:pPr>
        <w:spacing w:after="60"/>
        <w:rPr>
          <w:rFonts w:ascii="Arial" w:hAnsi="Arial" w:cs="Arial"/>
          <w:sz w:val="16"/>
          <w:szCs w:val="16"/>
        </w:rPr>
      </w:pPr>
    </w:p>
    <w:p w14:paraId="6D13D3C1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2CAF8E12" w14:textId="77777777" w:rsidR="00F7590C" w:rsidRPr="00C951B6" w:rsidRDefault="00F7590C" w:rsidP="00F7590C">
      <w:pPr>
        <w:spacing w:after="60"/>
        <w:rPr>
          <w:rFonts w:ascii="Arial" w:hAnsi="Arial" w:cs="Arial"/>
          <w:sz w:val="16"/>
          <w:szCs w:val="16"/>
        </w:rPr>
      </w:pPr>
    </w:p>
    <w:p w14:paraId="65EA2539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2A2EFFE" w14:textId="71C6C761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6805C7">
        <w:rPr>
          <w:rFonts w:ascii="Arial" w:hAnsi="Arial" w:cs="Arial"/>
          <w:b/>
          <w:sz w:val="18"/>
          <w:szCs w:val="18"/>
        </w:rPr>
        <w:t>Premium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FDDDFE2" w14:textId="77777777" w:rsidR="00F7590C" w:rsidRDefault="00F7590C" w:rsidP="00F7590C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E29734" w14:textId="77777777" w:rsidR="00F7590C" w:rsidRDefault="00F7590C" w:rsidP="00F7590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CF5EEA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6678F340" w14:textId="77777777" w:rsidR="00F7590C" w:rsidRDefault="00F7590C" w:rsidP="00F7590C">
      <w:pPr>
        <w:spacing w:after="60"/>
        <w:rPr>
          <w:rFonts w:ascii="Arial" w:hAnsi="Arial" w:cs="Arial"/>
          <w:sz w:val="18"/>
          <w:szCs w:val="18"/>
        </w:rPr>
      </w:pPr>
    </w:p>
    <w:p w14:paraId="4918B996" w14:textId="77777777" w:rsidR="00F7590C" w:rsidRDefault="00F7590C" w:rsidP="00F759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6F4D3F9" w14:textId="5974E2FA" w:rsidR="00947A0B" w:rsidRDefault="00947A0B" w:rsidP="00206623">
      <w:pPr>
        <w:rPr>
          <w:rFonts w:ascii="Arial" w:hAnsi="Arial" w:cs="Arial"/>
          <w:sz w:val="18"/>
          <w:szCs w:val="18"/>
        </w:rPr>
      </w:pPr>
    </w:p>
    <w:p w14:paraId="743483C2" w14:textId="77777777" w:rsidR="00947A0B" w:rsidRDefault="00947A0B" w:rsidP="00206623">
      <w:pPr>
        <w:rPr>
          <w:rFonts w:ascii="Arial" w:hAnsi="Arial" w:cs="Arial"/>
          <w:sz w:val="18"/>
          <w:szCs w:val="18"/>
        </w:rPr>
      </w:pPr>
    </w:p>
    <w:p w14:paraId="4A6E41FE" w14:textId="77777777" w:rsidR="006805C7" w:rsidRDefault="00F6672C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805C7">
        <w:rPr>
          <w:rFonts w:ascii="Arial" w:hAnsi="Arial" w:cs="Arial"/>
          <w:sz w:val="18"/>
          <w:szCs w:val="18"/>
        </w:rPr>
        <w:t>Klebstoff, Hersteller/Typ</w:t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  <w:r w:rsidR="006805C7">
        <w:rPr>
          <w:rFonts w:ascii="Arial" w:hAnsi="Arial" w:cs="Arial"/>
          <w:sz w:val="18"/>
          <w:szCs w:val="18"/>
        </w:rPr>
        <w:tab/>
      </w:r>
    </w:p>
    <w:p w14:paraId="02E683E5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5E9AC4" w14:textId="77777777" w:rsidR="006805C7" w:rsidRDefault="006805C7" w:rsidP="006805C7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8644259" w14:textId="77777777" w:rsidR="006805C7" w:rsidRDefault="006805C7" w:rsidP="006805C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522574" w14:textId="77777777" w:rsidR="006805C7" w:rsidRDefault="006805C7" w:rsidP="006805C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4F7393CE" w14:textId="77777777" w:rsidR="006805C7" w:rsidRDefault="006805C7" w:rsidP="006805C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FFA1650" w14:textId="4DDECDBB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836B1AF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</w:p>
    <w:p w14:paraId="454B705F" w14:textId="119A7C3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 xml:space="preserve">heterogen mit </w:t>
      </w:r>
      <w:r w:rsidR="00081D47">
        <w:rPr>
          <w:rFonts w:ascii="Arial" w:hAnsi="Arial" w:cs="Arial"/>
          <w:sz w:val="18"/>
          <w:szCs w:val="18"/>
        </w:rPr>
        <w:t>Schaumt</w:t>
      </w:r>
      <w:r>
        <w:rPr>
          <w:rFonts w:ascii="Arial" w:hAnsi="Arial" w:cs="Arial"/>
          <w:sz w:val="18"/>
          <w:szCs w:val="18"/>
        </w:rPr>
        <w:t>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7A22D8A1" w14:textId="77777777" w:rsidR="006805C7" w:rsidRPr="00BE05D6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5DD9CD0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</w:p>
    <w:p w14:paraId="41D5A903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CC19C93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6AA08DFD" w14:textId="77777777" w:rsidR="006805C7" w:rsidRPr="007E6BBE" w:rsidRDefault="006805C7" w:rsidP="006805C7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2C7413E7" w14:textId="77777777" w:rsidR="006805C7" w:rsidRDefault="006805C7" w:rsidP="006805C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C2C5B75" w14:textId="77777777" w:rsidR="006805C7" w:rsidRDefault="006805C7" w:rsidP="006805C7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4CBD8FD7" w14:textId="77777777" w:rsidR="006805C7" w:rsidRDefault="006805C7" w:rsidP="006805C7">
      <w:pPr>
        <w:spacing w:after="60"/>
        <w:rPr>
          <w:rFonts w:ascii="Arial" w:hAnsi="Arial" w:cs="Arial"/>
          <w:sz w:val="16"/>
          <w:szCs w:val="16"/>
        </w:rPr>
      </w:pPr>
    </w:p>
    <w:p w14:paraId="1F43FA28" w14:textId="77777777" w:rsidR="006805C7" w:rsidRDefault="006805C7" w:rsidP="006805C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0DE09C36" w14:textId="77777777" w:rsidR="006805C7" w:rsidRDefault="006805C7" w:rsidP="006805C7">
      <w:pPr>
        <w:rPr>
          <w:rFonts w:ascii="Arial" w:hAnsi="Arial" w:cs="Arial"/>
          <w:sz w:val="18"/>
          <w:szCs w:val="18"/>
        </w:rPr>
      </w:pPr>
    </w:p>
    <w:p w14:paraId="7CD5889F" w14:textId="77777777" w:rsidR="006805C7" w:rsidRDefault="006805C7" w:rsidP="006805C7">
      <w:pPr>
        <w:rPr>
          <w:rFonts w:ascii="Arial" w:hAnsi="Arial" w:cs="Arial"/>
          <w:sz w:val="18"/>
          <w:szCs w:val="18"/>
        </w:rPr>
      </w:pPr>
    </w:p>
    <w:p w14:paraId="26E74721" w14:textId="77777777" w:rsidR="006805C7" w:rsidRDefault="006805C7" w:rsidP="006805C7">
      <w:pPr>
        <w:rPr>
          <w:rFonts w:ascii="Arial" w:hAnsi="Arial" w:cs="Arial"/>
          <w:sz w:val="18"/>
          <w:szCs w:val="18"/>
        </w:rPr>
      </w:pPr>
    </w:p>
    <w:p w14:paraId="11A09123" w14:textId="77777777" w:rsidR="006805C7" w:rsidRDefault="006805C7" w:rsidP="006805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001DFFD2" w14:textId="57EC9E84" w:rsidR="00D532B1" w:rsidRDefault="00D532B1" w:rsidP="00F7590C">
      <w:pPr>
        <w:rPr>
          <w:rFonts w:ascii="Arial" w:hAnsi="Arial" w:cs="Arial"/>
          <w:sz w:val="18"/>
          <w:szCs w:val="18"/>
        </w:rPr>
      </w:pPr>
    </w:p>
    <w:sectPr w:rsidR="00D532B1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0001" w14:textId="77777777" w:rsidR="00663B58" w:rsidRDefault="00663B58" w:rsidP="00BE3D9A">
      <w:r>
        <w:separator/>
      </w:r>
    </w:p>
  </w:endnote>
  <w:endnote w:type="continuationSeparator" w:id="0">
    <w:p w14:paraId="001E0002" w14:textId="77777777" w:rsidR="00663B58" w:rsidRDefault="00663B58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006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01E0007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01E0008" w14:textId="5B8F61B8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723D11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723D11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01E0009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01E000A" w14:textId="3ADFAEA0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4D3E44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4D3E44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368B9" w:rsidRPr="003909FE">
      <w:rPr>
        <w:rFonts w:ascii="Arial" w:hAnsi="Arial" w:cs="Arial"/>
        <w:bCs/>
        <w:color w:val="001740"/>
        <w:sz w:val="18"/>
        <w:szCs w:val="18"/>
      </w:rPr>
      <w:t>0</w:t>
    </w:r>
    <w:r w:rsidR="002702F2">
      <w:rPr>
        <w:rFonts w:ascii="Arial" w:hAnsi="Arial" w:cs="Arial"/>
        <w:bCs/>
        <w:color w:val="001740"/>
        <w:sz w:val="18"/>
        <w:szCs w:val="18"/>
      </w:rPr>
      <w:t>5</w:t>
    </w:r>
    <w:r w:rsidR="008368B9">
      <w:rPr>
        <w:rFonts w:ascii="Arial" w:hAnsi="Arial" w:cs="Arial"/>
        <w:bCs/>
        <w:color w:val="001740"/>
        <w:sz w:val="18"/>
        <w:szCs w:val="18"/>
      </w:rPr>
      <w:t>.202</w:t>
    </w:r>
    <w:r w:rsidR="002702F2">
      <w:rPr>
        <w:rFonts w:ascii="Arial" w:hAnsi="Arial" w:cs="Arial"/>
        <w:bCs/>
        <w:color w:val="001740"/>
        <w:sz w:val="18"/>
        <w:szCs w:val="18"/>
      </w:rPr>
      <w:t>2</w:t>
    </w:r>
    <w:r w:rsidR="008368B9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FFFF" w14:textId="77777777" w:rsidR="00663B58" w:rsidRDefault="00663B58" w:rsidP="00BE3D9A">
      <w:r>
        <w:separator/>
      </w:r>
    </w:p>
  </w:footnote>
  <w:footnote w:type="continuationSeparator" w:id="0">
    <w:p w14:paraId="001E0000" w14:textId="77777777" w:rsidR="00663B58" w:rsidRDefault="00663B58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003" w14:textId="77777777" w:rsidR="00BE3D9A" w:rsidRDefault="00993DAB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E000B" wp14:editId="001E000C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E000F" w14:textId="77777777" w:rsidR="00BE3D9A" w:rsidRPr="00A60F6A" w:rsidRDefault="00993DAB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01E0010" wp14:editId="5A2D03DE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E00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001E000F" w14:textId="77777777" w:rsidR="00BE3D9A" w:rsidRPr="00A60F6A" w:rsidRDefault="00993DAB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001E0010" wp14:editId="5A2D03DE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01E0004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01E0005" w14:textId="77777777" w:rsidR="00BE3D9A" w:rsidRDefault="00993DAB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1E000D" wp14:editId="001E000E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44E1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04B6"/>
    <w:rsid w:val="00081D47"/>
    <w:rsid w:val="000A4B17"/>
    <w:rsid w:val="000F5AA2"/>
    <w:rsid w:val="00110E20"/>
    <w:rsid w:val="00117AA4"/>
    <w:rsid w:val="001441D9"/>
    <w:rsid w:val="001553B4"/>
    <w:rsid w:val="00174B3F"/>
    <w:rsid w:val="00186FF6"/>
    <w:rsid w:val="001A0A85"/>
    <w:rsid w:val="001A6237"/>
    <w:rsid w:val="001B61CE"/>
    <w:rsid w:val="001B7174"/>
    <w:rsid w:val="001E732B"/>
    <w:rsid w:val="00206623"/>
    <w:rsid w:val="002702F2"/>
    <w:rsid w:val="002736D3"/>
    <w:rsid w:val="00297387"/>
    <w:rsid w:val="002F5115"/>
    <w:rsid w:val="00365682"/>
    <w:rsid w:val="00373BF0"/>
    <w:rsid w:val="00380C7F"/>
    <w:rsid w:val="003909FE"/>
    <w:rsid w:val="00393E8C"/>
    <w:rsid w:val="00396560"/>
    <w:rsid w:val="003A403B"/>
    <w:rsid w:val="003C26B7"/>
    <w:rsid w:val="003D08C9"/>
    <w:rsid w:val="00401054"/>
    <w:rsid w:val="00450746"/>
    <w:rsid w:val="00483CEA"/>
    <w:rsid w:val="004C3E52"/>
    <w:rsid w:val="004D3E44"/>
    <w:rsid w:val="004E4348"/>
    <w:rsid w:val="004F6648"/>
    <w:rsid w:val="005561DD"/>
    <w:rsid w:val="005837B2"/>
    <w:rsid w:val="00605EBD"/>
    <w:rsid w:val="00621CD6"/>
    <w:rsid w:val="00650FB4"/>
    <w:rsid w:val="00663B58"/>
    <w:rsid w:val="006655B3"/>
    <w:rsid w:val="00666FF1"/>
    <w:rsid w:val="006805C7"/>
    <w:rsid w:val="00695472"/>
    <w:rsid w:val="007053D0"/>
    <w:rsid w:val="00706F67"/>
    <w:rsid w:val="007109B1"/>
    <w:rsid w:val="00723D11"/>
    <w:rsid w:val="007A24C3"/>
    <w:rsid w:val="007C3B29"/>
    <w:rsid w:val="007E244A"/>
    <w:rsid w:val="00816DA6"/>
    <w:rsid w:val="008368B9"/>
    <w:rsid w:val="008440E7"/>
    <w:rsid w:val="0085779C"/>
    <w:rsid w:val="008B28F7"/>
    <w:rsid w:val="008C1F13"/>
    <w:rsid w:val="008F0B95"/>
    <w:rsid w:val="00937A45"/>
    <w:rsid w:val="00947A0B"/>
    <w:rsid w:val="00993DAB"/>
    <w:rsid w:val="009A1DC3"/>
    <w:rsid w:val="00A11F2D"/>
    <w:rsid w:val="00AD0A4E"/>
    <w:rsid w:val="00AD5003"/>
    <w:rsid w:val="00AF5416"/>
    <w:rsid w:val="00AF7E6C"/>
    <w:rsid w:val="00B25A04"/>
    <w:rsid w:val="00B53220"/>
    <w:rsid w:val="00B54005"/>
    <w:rsid w:val="00B955B4"/>
    <w:rsid w:val="00BA791C"/>
    <w:rsid w:val="00BC70E2"/>
    <w:rsid w:val="00BE3D9A"/>
    <w:rsid w:val="00C6240B"/>
    <w:rsid w:val="00C6515A"/>
    <w:rsid w:val="00CD6E5D"/>
    <w:rsid w:val="00D532B1"/>
    <w:rsid w:val="00D6451F"/>
    <w:rsid w:val="00DB2A89"/>
    <w:rsid w:val="00DF67FE"/>
    <w:rsid w:val="00E015BC"/>
    <w:rsid w:val="00E202B2"/>
    <w:rsid w:val="00E275A6"/>
    <w:rsid w:val="00E77991"/>
    <w:rsid w:val="00E96AD9"/>
    <w:rsid w:val="00EE5EA4"/>
    <w:rsid w:val="00F1181F"/>
    <w:rsid w:val="00F6672C"/>
    <w:rsid w:val="00F66BE1"/>
    <w:rsid w:val="00F71BC8"/>
    <w:rsid w:val="00F7590C"/>
    <w:rsid w:val="00F819EC"/>
    <w:rsid w:val="00F876AC"/>
    <w:rsid w:val="00F96D1F"/>
    <w:rsid w:val="00F97C86"/>
    <w:rsid w:val="00FA7EEE"/>
    <w:rsid w:val="00FB079D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1DFFCF"/>
  <w15:chartTrackingRefBased/>
  <w15:docId w15:val="{54A9AE0C-1980-45E0-A925-DF263513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93D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3403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7</cp:revision>
  <cp:lastPrinted>2018-06-18T09:37:00Z</cp:lastPrinted>
  <dcterms:created xsi:type="dcterms:W3CDTF">2022-05-04T10:52:00Z</dcterms:created>
  <dcterms:modified xsi:type="dcterms:W3CDTF">2022-05-31T11:52:00Z</dcterms:modified>
</cp:coreProperties>
</file>